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1D" w:rsidRPr="00AC181D" w:rsidRDefault="004D4C68" w:rsidP="0075497C">
      <w:pPr>
        <w:bidi/>
        <w:jc w:val="center"/>
        <w:rPr>
          <w:sz w:val="18"/>
          <w:szCs w:val="18"/>
          <w:rtl/>
          <w:lang w:bidi="ar-MA"/>
        </w:rPr>
      </w:pPr>
      <w:r>
        <w:rPr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7.85pt;width:2in;height:27pt;z-index:251660288" stroked="f">
            <v:textbox>
              <w:txbxContent>
                <w:p w:rsidR="00AC181D" w:rsidRPr="00FA6D31" w:rsidRDefault="00AC181D" w:rsidP="00AC181D"/>
              </w:txbxContent>
            </v:textbox>
          </v:shape>
        </w:pict>
      </w:r>
      <w:r w:rsidR="00AC181D" w:rsidRPr="00AC181D">
        <w:rPr>
          <w:rFonts w:hint="cs"/>
          <w:noProof/>
          <w:sz w:val="18"/>
          <w:szCs w:val="18"/>
        </w:rPr>
        <w:drawing>
          <wp:inline distT="0" distB="0" distL="0" distR="0">
            <wp:extent cx="2636520" cy="92202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1D" w:rsidRPr="00AC181D" w:rsidRDefault="00AC181D" w:rsidP="00AC181D">
      <w:pPr>
        <w:bidi/>
        <w:jc w:val="right"/>
        <w:rPr>
          <w:rFonts w:cs="Arabic Transparent"/>
          <w:sz w:val="18"/>
          <w:szCs w:val="18"/>
          <w:lang w:bidi="ar-MA"/>
        </w:rPr>
      </w:pPr>
    </w:p>
    <w:p w:rsidR="002F5C41" w:rsidRPr="00757A41" w:rsidRDefault="002F5C41" w:rsidP="00A90A2C">
      <w:pPr>
        <w:jc w:val="center"/>
        <w:rPr>
          <w:b/>
          <w:bCs/>
          <w:sz w:val="32"/>
          <w:szCs w:val="32"/>
        </w:rPr>
      </w:pPr>
      <w:r w:rsidRPr="00757A41">
        <w:rPr>
          <w:b/>
          <w:bCs/>
          <w:sz w:val="32"/>
          <w:szCs w:val="32"/>
        </w:rPr>
        <w:t xml:space="preserve">Appel à contribution </w:t>
      </w:r>
      <w:r>
        <w:rPr>
          <w:b/>
          <w:bCs/>
          <w:sz w:val="32"/>
          <w:szCs w:val="32"/>
        </w:rPr>
        <w:t>pour l’élaboration d’un ouvrage collectif portant sur</w:t>
      </w:r>
      <w:r w:rsidRPr="00757A41">
        <w:rPr>
          <w:b/>
          <w:bCs/>
          <w:sz w:val="32"/>
          <w:szCs w:val="32"/>
        </w:rPr>
        <w:t xml:space="preserve"> </w:t>
      </w:r>
      <w:r w:rsidRPr="0001768B">
        <w:rPr>
          <w:b/>
          <w:bCs/>
          <w:color w:val="00B050"/>
          <w:sz w:val="32"/>
          <w:szCs w:val="32"/>
        </w:rPr>
        <w:t xml:space="preserve">« Les effets potentiels de la régionalisation avancée (R.A) sur l’administration d’Etat dans ses deux </w:t>
      </w:r>
      <w:r w:rsidR="00A90A2C" w:rsidRPr="0001768B">
        <w:rPr>
          <w:b/>
          <w:bCs/>
          <w:color w:val="00B050"/>
          <w:sz w:val="32"/>
          <w:szCs w:val="32"/>
        </w:rPr>
        <w:t>niveaux</w:t>
      </w:r>
      <w:r w:rsidRPr="0001768B">
        <w:rPr>
          <w:b/>
          <w:bCs/>
          <w:color w:val="00B050"/>
          <w:sz w:val="32"/>
          <w:szCs w:val="32"/>
        </w:rPr>
        <w:t xml:space="preserve"> central et déconcentré»</w:t>
      </w:r>
    </w:p>
    <w:p w:rsidR="002F5C41" w:rsidRPr="00757A41" w:rsidRDefault="002F5C41" w:rsidP="002F5C41">
      <w:pPr>
        <w:jc w:val="center"/>
        <w:rPr>
          <w:i/>
          <w:iCs/>
          <w:sz w:val="28"/>
          <w:szCs w:val="28"/>
          <w:u w:val="single"/>
        </w:rPr>
      </w:pPr>
      <w:r w:rsidRPr="00757A41">
        <w:rPr>
          <w:i/>
          <w:iCs/>
          <w:sz w:val="28"/>
          <w:szCs w:val="28"/>
          <w:u w:val="single"/>
        </w:rPr>
        <w:t>Date limite de l’envoi des propositions</w:t>
      </w:r>
      <w:r>
        <w:rPr>
          <w:i/>
          <w:iCs/>
          <w:sz w:val="28"/>
          <w:szCs w:val="28"/>
          <w:u w:val="single"/>
        </w:rPr>
        <w:t xml:space="preserve"> de thématiques</w:t>
      </w:r>
      <w:r w:rsidRPr="00757A41">
        <w:rPr>
          <w:i/>
          <w:iCs/>
          <w:sz w:val="28"/>
          <w:szCs w:val="28"/>
          <w:u w:val="single"/>
        </w:rPr>
        <w:t xml:space="preserve"> : </w:t>
      </w:r>
      <w:r>
        <w:rPr>
          <w:b/>
          <w:i/>
          <w:iCs/>
          <w:sz w:val="28"/>
          <w:szCs w:val="28"/>
          <w:u w:val="single"/>
        </w:rPr>
        <w:t>28 février2016</w:t>
      </w:r>
    </w:p>
    <w:p w:rsidR="002F5C41" w:rsidRDefault="002F5C41" w:rsidP="002F5C4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Thématique générale de l’ouvrage</w:t>
      </w:r>
      <w:r w:rsidRPr="00D75881">
        <w:rPr>
          <w:color w:val="FF0000"/>
          <w:sz w:val="28"/>
          <w:szCs w:val="28"/>
        </w:rPr>
        <w:t> :</w:t>
      </w:r>
    </w:p>
    <w:p w:rsidR="002F5C41" w:rsidRDefault="002F5C41" w:rsidP="00A9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L’ouvrage collectif, </w:t>
      </w:r>
      <w:r w:rsidR="00A90A2C">
        <w:rPr>
          <w:sz w:val="28"/>
          <w:szCs w:val="28"/>
        </w:rPr>
        <w:t>dont</w:t>
      </w:r>
      <w:r>
        <w:rPr>
          <w:sz w:val="28"/>
          <w:szCs w:val="28"/>
        </w:rPr>
        <w:t xml:space="preserve"> l’OMAP se propose d</w:t>
      </w:r>
      <w:r w:rsidR="00A90A2C">
        <w:rPr>
          <w:sz w:val="28"/>
          <w:szCs w:val="28"/>
        </w:rPr>
        <w:t>e coordonner la préparation et la publication</w:t>
      </w:r>
      <w:r>
        <w:rPr>
          <w:sz w:val="28"/>
          <w:szCs w:val="28"/>
        </w:rPr>
        <w:t xml:space="preserve">, a pour objet d’analyser les répercussions potentielles /probables de la régionalisation avancée (R.A) sur l’administration d’Etat au Maroc. Nous partons du postulat que la R.A mise en place dans le pays s’inscrit à moyen terme dans un processus de grande décentralisation territoriale qui va aboutir à un mouvement irréversible de transfert de compétences, de responsabilités et de moyens plus ou moins importants en faveur des régions. Envisagée ainsi, la R.A </w:t>
      </w:r>
      <w:r w:rsidR="00A90A2C">
        <w:rPr>
          <w:sz w:val="28"/>
          <w:szCs w:val="28"/>
        </w:rPr>
        <w:t>devrait</w:t>
      </w:r>
      <w:r>
        <w:rPr>
          <w:sz w:val="28"/>
          <w:szCs w:val="28"/>
        </w:rPr>
        <w:t xml:space="preserve"> avoir des impacts réels sur l’administration d’Etat, tant au niveau central qu’au niveau déconcentré. Ce sont ces changements/impacts probables que les auteurs sont invités à identifier, à explorer et à analyser dans une démarche de prospective/futurologie. Ce n’est donc pas un ouvrage de plus sur la R.A, mais une réflexion centrée et ciblée portant sur les mutations que l’administration d’Etat, centrale et déconcentrée, est appelée à connaître ou à subir, à la faveur de la réforme régionale initiée par les pouvoirs publics. </w:t>
      </w:r>
    </w:p>
    <w:p w:rsidR="002F5C41" w:rsidRPr="002D5068" w:rsidRDefault="002F5C41" w:rsidP="002F5C41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Personnes</w:t>
      </w:r>
      <w:r w:rsidRPr="002D5068">
        <w:rPr>
          <w:color w:val="FF0000"/>
          <w:sz w:val="28"/>
          <w:szCs w:val="28"/>
          <w:u w:val="single"/>
        </w:rPr>
        <w:t xml:space="preserve"> concernée</w:t>
      </w:r>
      <w:r>
        <w:rPr>
          <w:color w:val="FF0000"/>
          <w:sz w:val="28"/>
          <w:szCs w:val="28"/>
          <w:u w:val="single"/>
        </w:rPr>
        <w:t>s</w:t>
      </w:r>
      <w:r w:rsidRPr="002D5068">
        <w:rPr>
          <w:color w:val="FF0000"/>
          <w:sz w:val="28"/>
          <w:szCs w:val="28"/>
          <w:u w:val="single"/>
        </w:rPr>
        <w:t xml:space="preserve"> : </w:t>
      </w:r>
    </w:p>
    <w:p w:rsidR="002F5C41" w:rsidRDefault="002F5C41" w:rsidP="002F5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Enseignants chercheurs, experts et consultants, hauts responsables et hauts cadres de l’administration, jeunes doctorants en sciences administratives… </w:t>
      </w:r>
    </w:p>
    <w:p w:rsidR="002F5C41" w:rsidRDefault="002F5C41" w:rsidP="002F5C41">
      <w:pPr>
        <w:jc w:val="both"/>
        <w:rPr>
          <w:color w:val="FF0000"/>
          <w:sz w:val="28"/>
          <w:szCs w:val="28"/>
          <w:u w:val="single"/>
        </w:rPr>
      </w:pPr>
    </w:p>
    <w:p w:rsidR="002F5C41" w:rsidRDefault="002F5C41" w:rsidP="002F5C41">
      <w:pPr>
        <w:jc w:val="both"/>
        <w:rPr>
          <w:color w:val="FF0000"/>
          <w:sz w:val="28"/>
          <w:szCs w:val="28"/>
          <w:u w:val="single"/>
        </w:rPr>
      </w:pPr>
    </w:p>
    <w:p w:rsidR="002F5C41" w:rsidRPr="002D5068" w:rsidRDefault="002F5C41" w:rsidP="002F5C41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lastRenderedPageBreak/>
        <w:t>Quelques pistes</w:t>
      </w:r>
      <w:r w:rsidRPr="002D5068">
        <w:rPr>
          <w:color w:val="FF0000"/>
          <w:sz w:val="28"/>
          <w:szCs w:val="28"/>
          <w:u w:val="single"/>
        </w:rPr>
        <w:t xml:space="preserve"> de réflexions </w:t>
      </w:r>
      <w:r>
        <w:rPr>
          <w:color w:val="FF0000"/>
          <w:sz w:val="28"/>
          <w:szCs w:val="28"/>
          <w:u w:val="single"/>
        </w:rPr>
        <w:t xml:space="preserve">suggérées </w:t>
      </w:r>
      <w:r w:rsidRPr="002D5068">
        <w:rPr>
          <w:color w:val="FF0000"/>
          <w:sz w:val="28"/>
          <w:szCs w:val="28"/>
          <w:u w:val="single"/>
        </w:rPr>
        <w:t>:</w:t>
      </w:r>
    </w:p>
    <w:p w:rsidR="002F5C41" w:rsidRDefault="002F5C41" w:rsidP="002F5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Ces pistes sont données ici à titre purement indicatif. Les auteurs peuvent entrevoir tout autre domaine de changement qui mérite à leurs yeux d’être exploré :</w:t>
      </w:r>
    </w:p>
    <w:p w:rsidR="002F5C41" w:rsidRDefault="002F5C41" w:rsidP="002F5C4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207E6">
        <w:rPr>
          <w:sz w:val="28"/>
          <w:szCs w:val="28"/>
        </w:rPr>
        <w:t>Les répercussions de la régionalisation avancée sur les structures, la taille</w:t>
      </w:r>
      <w:r>
        <w:rPr>
          <w:sz w:val="28"/>
          <w:szCs w:val="28"/>
        </w:rPr>
        <w:t xml:space="preserve">, </w:t>
      </w:r>
      <w:r w:rsidRPr="00B207E6">
        <w:rPr>
          <w:sz w:val="28"/>
          <w:szCs w:val="28"/>
        </w:rPr>
        <w:t xml:space="preserve"> l’organisation</w:t>
      </w:r>
      <w:r>
        <w:rPr>
          <w:sz w:val="28"/>
          <w:szCs w:val="28"/>
        </w:rPr>
        <w:t xml:space="preserve"> et le fonctionnement</w:t>
      </w:r>
      <w:r w:rsidRPr="00B207E6">
        <w:rPr>
          <w:sz w:val="28"/>
          <w:szCs w:val="28"/>
        </w:rPr>
        <w:t xml:space="preserve"> des ministères, sur le processus de prise de décision et sur les no</w:t>
      </w:r>
      <w:r>
        <w:rPr>
          <w:sz w:val="28"/>
          <w:szCs w:val="28"/>
        </w:rPr>
        <w:t>u</w:t>
      </w:r>
      <w:r w:rsidRPr="00B207E6">
        <w:rPr>
          <w:sz w:val="28"/>
          <w:szCs w:val="28"/>
        </w:rPr>
        <w:t>velles exigences posées par la R.A</w:t>
      </w:r>
      <w:r>
        <w:rPr>
          <w:sz w:val="28"/>
          <w:szCs w:val="28"/>
        </w:rPr>
        <w:t>, entre autres,</w:t>
      </w:r>
      <w:r w:rsidRPr="00B207E6">
        <w:rPr>
          <w:sz w:val="28"/>
          <w:szCs w:val="28"/>
        </w:rPr>
        <w:t xml:space="preserve"> au travail gouvernemental et à la gestion de l’inter ministérialité…. </w:t>
      </w:r>
    </w:p>
    <w:p w:rsidR="002F5C41" w:rsidRDefault="002F5C41" w:rsidP="002F5C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F5C41" w:rsidRPr="002F5C41" w:rsidRDefault="002F5C41" w:rsidP="00A90A2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F5C41">
        <w:rPr>
          <w:sz w:val="28"/>
          <w:szCs w:val="28"/>
        </w:rPr>
        <w:t>Les effets sur la gestion des ressources humaines placées au cœur des rapports entre l’administration centrale et les régions….  (services extérieurs et collectivités territoriales) : quels types de changement vont affecter la GRH dans l’administration centrale : pourra</w:t>
      </w:r>
      <w:r w:rsidR="00A90A2C">
        <w:rPr>
          <w:sz w:val="28"/>
          <w:szCs w:val="28"/>
        </w:rPr>
        <w:t>it</w:t>
      </w:r>
      <w:r w:rsidRPr="002F5C41">
        <w:rPr>
          <w:sz w:val="28"/>
          <w:szCs w:val="28"/>
        </w:rPr>
        <w:t>-on continuer à recruter, à perfectionner et à former, à évaluer le rendement du personnel central de la même façon qu’on le fait aujourd’hui ?</w:t>
      </w:r>
    </w:p>
    <w:p w:rsidR="002F5C41" w:rsidRPr="000D76E8" w:rsidRDefault="002F5C41" w:rsidP="002F5C41">
      <w:pPr>
        <w:ind w:left="720"/>
        <w:jc w:val="both"/>
        <w:rPr>
          <w:sz w:val="28"/>
          <w:szCs w:val="28"/>
        </w:rPr>
      </w:pPr>
      <w:r w:rsidRPr="000D76E8">
        <w:rPr>
          <w:sz w:val="28"/>
          <w:szCs w:val="28"/>
        </w:rPr>
        <w:t xml:space="preserve"> </w:t>
      </w:r>
    </w:p>
    <w:p w:rsidR="002F5C41" w:rsidRDefault="002F5C41" w:rsidP="00A90A2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76E8">
        <w:rPr>
          <w:sz w:val="28"/>
          <w:szCs w:val="28"/>
        </w:rPr>
        <w:t xml:space="preserve">La </w:t>
      </w:r>
      <w:r>
        <w:rPr>
          <w:sz w:val="28"/>
          <w:szCs w:val="28"/>
        </w:rPr>
        <w:t>représentativité</w:t>
      </w:r>
      <w:r w:rsidRPr="000D76E8">
        <w:rPr>
          <w:sz w:val="28"/>
          <w:szCs w:val="28"/>
        </w:rPr>
        <w:t xml:space="preserve"> de l’Etat sur le plan régional – l’Etat </w:t>
      </w:r>
      <w:r w:rsidR="00A90A2C">
        <w:rPr>
          <w:sz w:val="28"/>
          <w:szCs w:val="28"/>
        </w:rPr>
        <w:t>territorial</w:t>
      </w:r>
      <w:r w:rsidRPr="000D76E8">
        <w:rPr>
          <w:sz w:val="28"/>
          <w:szCs w:val="28"/>
        </w:rPr>
        <w:t>-, il s’agit de mettre l’accent sur le réseau des services déconcentrés –parent pauvre de la réforme administrative dans le pays, qui ser</w:t>
      </w:r>
      <w:r>
        <w:rPr>
          <w:sz w:val="28"/>
          <w:szCs w:val="28"/>
        </w:rPr>
        <w:t>ont</w:t>
      </w:r>
      <w:r w:rsidR="00A90A2C">
        <w:rPr>
          <w:sz w:val="28"/>
          <w:szCs w:val="28"/>
        </w:rPr>
        <w:t>, dorénavant,</w:t>
      </w:r>
      <w:r w:rsidRPr="000D76E8">
        <w:rPr>
          <w:sz w:val="28"/>
          <w:szCs w:val="28"/>
        </w:rPr>
        <w:t xml:space="preserve"> amené</w:t>
      </w:r>
      <w:r>
        <w:rPr>
          <w:sz w:val="28"/>
          <w:szCs w:val="28"/>
        </w:rPr>
        <w:t>s</w:t>
      </w:r>
      <w:r w:rsidRPr="000D76E8">
        <w:rPr>
          <w:sz w:val="28"/>
          <w:szCs w:val="28"/>
        </w:rPr>
        <w:t xml:space="preserve"> à </w:t>
      </w:r>
      <w:r>
        <w:rPr>
          <w:sz w:val="28"/>
          <w:szCs w:val="28"/>
        </w:rPr>
        <w:t>travailler</w:t>
      </w:r>
      <w:r w:rsidRPr="000D76E8">
        <w:rPr>
          <w:sz w:val="28"/>
          <w:szCs w:val="28"/>
        </w:rPr>
        <w:t xml:space="preserve"> avec des acteurs régionaux disposant de plus de légitimité, de moyens et d’attributions. Autrement-dit, comment faire des services </w:t>
      </w:r>
      <w:r>
        <w:rPr>
          <w:sz w:val="28"/>
          <w:szCs w:val="28"/>
        </w:rPr>
        <w:t>déconcentrés</w:t>
      </w:r>
      <w:r w:rsidRPr="000D76E8">
        <w:rPr>
          <w:sz w:val="28"/>
          <w:szCs w:val="28"/>
        </w:rPr>
        <w:t xml:space="preserve"> de l’Etat des vecteurs de développement de la réforme de l’Etat et de la modernisation de l’administration publique</w:t>
      </w:r>
      <w:r>
        <w:rPr>
          <w:sz w:val="28"/>
          <w:szCs w:val="28"/>
        </w:rPr>
        <w:t xml:space="preserve"> et un interlocuteur responsable et crédible aux yeux des élites régionales de demain</w:t>
      </w:r>
      <w:r w:rsidRPr="000D76E8">
        <w:rPr>
          <w:sz w:val="28"/>
          <w:szCs w:val="28"/>
        </w:rPr>
        <w:t> ?</w:t>
      </w:r>
    </w:p>
    <w:p w:rsidR="002F5C41" w:rsidRDefault="002F5C41" w:rsidP="002F5C41">
      <w:pPr>
        <w:ind w:left="720"/>
        <w:jc w:val="both"/>
        <w:rPr>
          <w:sz w:val="28"/>
          <w:szCs w:val="28"/>
        </w:rPr>
      </w:pPr>
    </w:p>
    <w:p w:rsidR="002F5C41" w:rsidRDefault="002F5C41" w:rsidP="00A90A2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répercussions sur la gestion des finances publiques et les procédures de la gestion de la dépense publique, notamment l’élaboration du </w:t>
      </w:r>
      <w:r w:rsidR="00A90A2C">
        <w:rPr>
          <w:sz w:val="28"/>
          <w:szCs w:val="28"/>
        </w:rPr>
        <w:t>budget</w:t>
      </w:r>
      <w:r>
        <w:rPr>
          <w:sz w:val="28"/>
          <w:szCs w:val="28"/>
        </w:rPr>
        <w:t xml:space="preserve">, les dépenses d’investissement en rapport avec les politiques publiques sectorielles conduites par l’Etat. Le rôle futur des services régionaux de l’Etat dans </w:t>
      </w:r>
      <w:r w:rsidR="00A90A2C">
        <w:rPr>
          <w:sz w:val="28"/>
          <w:szCs w:val="28"/>
        </w:rPr>
        <w:t>le processus de gestion financier</w:t>
      </w:r>
      <w:r>
        <w:rPr>
          <w:sz w:val="28"/>
          <w:szCs w:val="28"/>
        </w:rPr>
        <w:t xml:space="preserve"> des politiques publiques dont les administrations centrales seront obligées à renégocier le contenu avec les pouvoirs régionaux en place ! Les aspects d’audit et de contrôle des finances publiques dans une perspective de bonne gouvernance… </w:t>
      </w:r>
    </w:p>
    <w:p w:rsidR="002F5C41" w:rsidRDefault="002F5C41" w:rsidP="002F5C41">
      <w:pPr>
        <w:jc w:val="both"/>
        <w:rPr>
          <w:sz w:val="28"/>
          <w:szCs w:val="28"/>
        </w:rPr>
      </w:pPr>
    </w:p>
    <w:p w:rsidR="002F5C41" w:rsidRDefault="002F5C41" w:rsidP="002F5C41">
      <w:pPr>
        <w:ind w:left="360"/>
        <w:jc w:val="both"/>
        <w:rPr>
          <w:color w:val="FF0000"/>
          <w:sz w:val="28"/>
          <w:szCs w:val="28"/>
          <w:u w:val="single"/>
        </w:rPr>
      </w:pPr>
      <w:r w:rsidRPr="002D5068">
        <w:rPr>
          <w:color w:val="FF0000"/>
          <w:sz w:val="28"/>
          <w:szCs w:val="28"/>
          <w:u w:val="single"/>
        </w:rPr>
        <w:lastRenderedPageBreak/>
        <w:t>M</w:t>
      </w:r>
      <w:r>
        <w:rPr>
          <w:color w:val="FF0000"/>
          <w:sz w:val="28"/>
          <w:szCs w:val="28"/>
          <w:u w:val="single"/>
        </w:rPr>
        <w:t>odalités de formulation</w:t>
      </w:r>
      <w:r w:rsidRPr="002D5068">
        <w:rPr>
          <w:color w:val="FF0000"/>
          <w:sz w:val="28"/>
          <w:szCs w:val="28"/>
          <w:u w:val="single"/>
        </w:rPr>
        <w:t xml:space="preserve"> des </w:t>
      </w:r>
      <w:r>
        <w:rPr>
          <w:color w:val="FF0000"/>
          <w:sz w:val="28"/>
          <w:szCs w:val="28"/>
          <w:u w:val="single"/>
        </w:rPr>
        <w:t>propositions</w:t>
      </w:r>
      <w:r w:rsidRPr="002D5068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de contribution</w:t>
      </w:r>
    </w:p>
    <w:p w:rsidR="002F5C41" w:rsidRDefault="002F5C41" w:rsidP="002F5C4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vivement souhaitable que les contributions s’inscrivent dans la perspective retenue par la thématique principale de l’ouvrage, qu’elles soient d’une teneur/contenu scientifique de qualité et présentent une valeur ajoutée du point de vue de la science administrative.</w:t>
      </w:r>
    </w:p>
    <w:p w:rsidR="002F5C41" w:rsidRDefault="002F5C41" w:rsidP="002F5C4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propositions devraient être accompagnées d’un résumé d’une page au maximum indiquant les explications complémentaires avec l’approche adoptée.</w:t>
      </w:r>
    </w:p>
    <w:p w:rsidR="002F5C41" w:rsidRDefault="002F5C41" w:rsidP="002F5C4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contribution finale (en arabe ou en français), transmise à l’OMAP, doit se situer entre 20 pages maximum et 16 pages minimum, y compris la liste bibliographique. </w:t>
      </w:r>
    </w:p>
    <w:p w:rsidR="002F5C41" w:rsidRDefault="002F5C41" w:rsidP="002F5C4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1</w:t>
      </w:r>
      <w:r w:rsidRPr="00A63468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page contient les éléments d’information suivants : thème de recherche proposé,  nom et prénom du chercheur, son adresse électronique, et son n° de téléphone. </w:t>
      </w:r>
    </w:p>
    <w:p w:rsidR="002F5C41" w:rsidRDefault="002F5C41" w:rsidP="002F5C4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2</w:t>
      </w:r>
      <w:r w:rsidRPr="00A63468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page présente le résumé de la contribution.</w:t>
      </w:r>
    </w:p>
    <w:p w:rsidR="002F5C41" w:rsidRPr="00997FD7" w:rsidRDefault="002F5C41" w:rsidP="002F5C41">
      <w:pPr>
        <w:rPr>
          <w:sz w:val="28"/>
          <w:szCs w:val="28"/>
        </w:rPr>
      </w:pPr>
      <w:r w:rsidRPr="002D5068">
        <w:rPr>
          <w:color w:val="FF0000"/>
          <w:sz w:val="28"/>
          <w:szCs w:val="28"/>
        </w:rPr>
        <w:t xml:space="preserve">   </w:t>
      </w:r>
      <w:r w:rsidRPr="002D5068">
        <w:rPr>
          <w:color w:val="FF0000"/>
          <w:sz w:val="28"/>
          <w:szCs w:val="28"/>
          <w:u w:val="single"/>
        </w:rPr>
        <w:t>Calendrier</w:t>
      </w:r>
      <w:r>
        <w:rPr>
          <w:color w:val="FF0000"/>
          <w:sz w:val="28"/>
          <w:szCs w:val="28"/>
          <w:u w:val="single"/>
        </w:rPr>
        <w:t> :</w:t>
      </w:r>
    </w:p>
    <w:p w:rsidR="002F5C41" w:rsidRPr="00997FD7" w:rsidRDefault="002F5C41" w:rsidP="002F5C4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Dernier délai</w:t>
      </w:r>
      <w:r w:rsidRPr="00997FD7">
        <w:rPr>
          <w:sz w:val="28"/>
          <w:szCs w:val="28"/>
        </w:rPr>
        <w:t xml:space="preserve"> de réception des propositions et résumés : </w:t>
      </w:r>
      <w:r>
        <w:rPr>
          <w:b/>
          <w:sz w:val="28"/>
          <w:szCs w:val="28"/>
        </w:rPr>
        <w:t>28 février 2016</w:t>
      </w:r>
    </w:p>
    <w:p w:rsidR="002F5C41" w:rsidRPr="00997FD7" w:rsidRDefault="002F5C41" w:rsidP="002F5C4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997FD7">
        <w:rPr>
          <w:sz w:val="28"/>
          <w:szCs w:val="28"/>
        </w:rPr>
        <w:t xml:space="preserve">éponse </w:t>
      </w:r>
      <w:r>
        <w:rPr>
          <w:sz w:val="28"/>
          <w:szCs w:val="28"/>
        </w:rPr>
        <w:t xml:space="preserve">de l’OMAP </w:t>
      </w:r>
      <w:r w:rsidRPr="00997FD7">
        <w:rPr>
          <w:sz w:val="28"/>
          <w:szCs w:val="28"/>
        </w:rPr>
        <w:t>aux</w:t>
      </w:r>
      <w:r>
        <w:rPr>
          <w:sz w:val="28"/>
          <w:szCs w:val="28"/>
        </w:rPr>
        <w:t xml:space="preserve"> auteurs des propositions de recherche </w:t>
      </w:r>
      <w:r w:rsidRPr="00997F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mars </w:t>
      </w:r>
    </w:p>
    <w:p w:rsidR="002F5C41" w:rsidRPr="00B03372" w:rsidRDefault="002F5C41" w:rsidP="002F5C4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Dernier délai de r</w:t>
      </w:r>
      <w:r w:rsidRPr="00997FD7">
        <w:rPr>
          <w:sz w:val="28"/>
          <w:szCs w:val="28"/>
        </w:rPr>
        <w:t xml:space="preserve">éception des </w:t>
      </w:r>
      <w:r>
        <w:rPr>
          <w:sz w:val="28"/>
          <w:szCs w:val="28"/>
        </w:rPr>
        <w:t>contributions :</w:t>
      </w:r>
      <w:r w:rsidRPr="00997FD7">
        <w:rPr>
          <w:sz w:val="28"/>
          <w:szCs w:val="28"/>
        </w:rPr>
        <w:t xml:space="preserve"> </w:t>
      </w:r>
      <w:r w:rsidRPr="001802F4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 xml:space="preserve">mai </w:t>
      </w:r>
    </w:p>
    <w:p w:rsidR="002F5C41" w:rsidRDefault="002F5C41" w:rsidP="002F5C41">
      <w:pPr>
        <w:ind w:left="360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Modalités</w:t>
      </w:r>
      <w:r w:rsidRPr="002D5068">
        <w:rPr>
          <w:color w:val="FF0000"/>
          <w:sz w:val="28"/>
          <w:szCs w:val="28"/>
          <w:u w:val="single"/>
        </w:rPr>
        <w:t xml:space="preserve"> de transmission</w:t>
      </w:r>
      <w:r>
        <w:rPr>
          <w:color w:val="FF0000"/>
          <w:sz w:val="28"/>
          <w:szCs w:val="28"/>
          <w:u w:val="single"/>
        </w:rPr>
        <w:t xml:space="preserve"> </w:t>
      </w:r>
      <w:r w:rsidRPr="002D5068">
        <w:rPr>
          <w:color w:val="FF0000"/>
          <w:sz w:val="28"/>
          <w:szCs w:val="28"/>
          <w:u w:val="single"/>
        </w:rPr>
        <w:t xml:space="preserve">: </w:t>
      </w:r>
    </w:p>
    <w:p w:rsidR="002F5C41" w:rsidRDefault="002F5C41" w:rsidP="002F5C41">
      <w:pPr>
        <w:ind w:left="360"/>
        <w:rPr>
          <w:sz w:val="28"/>
          <w:szCs w:val="28"/>
        </w:rPr>
      </w:pPr>
      <w:r w:rsidRPr="00997FD7">
        <w:rPr>
          <w:sz w:val="28"/>
          <w:szCs w:val="28"/>
        </w:rPr>
        <w:t xml:space="preserve">Adresse mail de contact : </w:t>
      </w:r>
      <w:hyperlink r:id="rId6" w:history="1">
        <w:r w:rsidRPr="00997FD7">
          <w:rPr>
            <w:rStyle w:val="Lienhypertexte"/>
            <w:sz w:val="28"/>
            <w:szCs w:val="28"/>
          </w:rPr>
          <w:t>dr.b.baddag@gmail.com</w:t>
        </w:r>
      </w:hyperlink>
    </w:p>
    <w:p w:rsidR="002F5C41" w:rsidRDefault="002F5C41" w:rsidP="002F5C41">
      <w:pPr>
        <w:ind w:left="360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Modalités</w:t>
      </w:r>
      <w:r w:rsidRPr="00E35C98">
        <w:rPr>
          <w:color w:val="FF0000"/>
          <w:sz w:val="28"/>
          <w:szCs w:val="28"/>
          <w:u w:val="single"/>
        </w:rPr>
        <w:t xml:space="preserve"> d’évaluation</w:t>
      </w:r>
      <w:r>
        <w:rPr>
          <w:color w:val="FF0000"/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</w:p>
    <w:p w:rsidR="002F5C41" w:rsidRDefault="002F5C41" w:rsidP="002F5C41">
      <w:pPr>
        <w:ind w:left="360"/>
        <w:jc w:val="both"/>
        <w:rPr>
          <w:b/>
          <w:bCs/>
          <w:sz w:val="28"/>
          <w:szCs w:val="28"/>
        </w:rPr>
      </w:pPr>
      <w:r w:rsidRPr="00B03372">
        <w:rPr>
          <w:b/>
          <w:bCs/>
          <w:sz w:val="28"/>
          <w:szCs w:val="28"/>
        </w:rPr>
        <w:t xml:space="preserve">L’OMAP compte désigner une </w:t>
      </w:r>
      <w:r w:rsidRPr="00A90A2C">
        <w:rPr>
          <w:b/>
          <w:bCs/>
          <w:sz w:val="28"/>
          <w:szCs w:val="28"/>
        </w:rPr>
        <w:t>commission scientifique d’évaluation neutre</w:t>
      </w:r>
      <w:r w:rsidRPr="00B03372">
        <w:rPr>
          <w:b/>
          <w:bCs/>
          <w:sz w:val="28"/>
          <w:szCs w:val="28"/>
        </w:rPr>
        <w:t xml:space="preserve"> chargée de se prononcer sur les propositions de contribution. IL compte aussi organiser deux rencontres : la première, le 18 février, destinée à présenter dans le détail le projet du livre collectif : son contenu, ses objectifs et la méthodologie retenue. La deuxième réunion est envisagée pour permettre aux auteurs</w:t>
      </w:r>
      <w:r w:rsidR="00A90A2C">
        <w:rPr>
          <w:b/>
          <w:bCs/>
          <w:sz w:val="28"/>
          <w:szCs w:val="28"/>
        </w:rPr>
        <w:t>,</w:t>
      </w:r>
      <w:r w:rsidRPr="00B03372">
        <w:rPr>
          <w:b/>
          <w:bCs/>
          <w:sz w:val="28"/>
          <w:szCs w:val="28"/>
        </w:rPr>
        <w:t xml:space="preserve"> dont les thèmes ont été validés</w:t>
      </w:r>
      <w:r w:rsidR="00A90A2C">
        <w:rPr>
          <w:b/>
          <w:bCs/>
          <w:sz w:val="28"/>
          <w:szCs w:val="28"/>
        </w:rPr>
        <w:t>,</w:t>
      </w:r>
      <w:r w:rsidRPr="00B03372">
        <w:rPr>
          <w:b/>
          <w:bCs/>
          <w:sz w:val="28"/>
          <w:szCs w:val="28"/>
        </w:rPr>
        <w:t xml:space="preserve"> d’exposer leur </w:t>
      </w:r>
      <w:r>
        <w:rPr>
          <w:b/>
          <w:bCs/>
          <w:sz w:val="28"/>
          <w:szCs w:val="28"/>
        </w:rPr>
        <w:t>thématique</w:t>
      </w:r>
      <w:r w:rsidRPr="00B03372">
        <w:rPr>
          <w:b/>
          <w:bCs/>
          <w:sz w:val="28"/>
          <w:szCs w:val="28"/>
        </w:rPr>
        <w:t xml:space="preserve"> de recherche en vue de son enrichissement par les observations des autres auteurs.</w:t>
      </w:r>
    </w:p>
    <w:p w:rsidR="002F5C41" w:rsidRDefault="002F5C41" w:rsidP="002F5C41">
      <w:pPr>
        <w:ind w:left="360"/>
        <w:jc w:val="center"/>
        <w:rPr>
          <w:sz w:val="36"/>
          <w:szCs w:val="36"/>
        </w:rPr>
      </w:pPr>
    </w:p>
    <w:p w:rsidR="002A6801" w:rsidRPr="00AC181D" w:rsidRDefault="002F5C41" w:rsidP="002F5C41">
      <w:pPr>
        <w:ind w:left="360"/>
        <w:jc w:val="center"/>
        <w:rPr>
          <w:sz w:val="28"/>
          <w:szCs w:val="28"/>
        </w:rPr>
      </w:pPr>
      <w:r w:rsidRPr="002F5C41">
        <w:rPr>
          <w:sz w:val="36"/>
          <w:szCs w:val="36"/>
        </w:rPr>
        <w:t>L’OMAP vous remercie de votre aimable collaboration à la réussite de ce projet scientifique</w:t>
      </w:r>
    </w:p>
    <w:sectPr w:rsidR="002A6801" w:rsidRPr="00AC181D" w:rsidSect="00A3075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395"/>
    <w:multiLevelType w:val="hybridMultilevel"/>
    <w:tmpl w:val="A40E53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E5D7E"/>
    <w:multiLevelType w:val="hybridMultilevel"/>
    <w:tmpl w:val="A678FAC8"/>
    <w:lvl w:ilvl="0" w:tplc="0C4E9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742C8"/>
    <w:multiLevelType w:val="hybridMultilevel"/>
    <w:tmpl w:val="14FEC1B6"/>
    <w:lvl w:ilvl="0" w:tplc="0C4E9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181D"/>
    <w:rsid w:val="0001768B"/>
    <w:rsid w:val="00144618"/>
    <w:rsid w:val="002377BE"/>
    <w:rsid w:val="002705CC"/>
    <w:rsid w:val="002A6801"/>
    <w:rsid w:val="002F5C41"/>
    <w:rsid w:val="004D4C68"/>
    <w:rsid w:val="0050316D"/>
    <w:rsid w:val="00505531"/>
    <w:rsid w:val="005B76CE"/>
    <w:rsid w:val="006A5CB0"/>
    <w:rsid w:val="0075497C"/>
    <w:rsid w:val="00935637"/>
    <w:rsid w:val="00A90A2C"/>
    <w:rsid w:val="00AC181D"/>
    <w:rsid w:val="00AD7CB1"/>
    <w:rsid w:val="00BB7EDE"/>
    <w:rsid w:val="00C16AC5"/>
    <w:rsid w:val="00C21B6F"/>
    <w:rsid w:val="00F4508A"/>
    <w:rsid w:val="00FA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5C41"/>
    <w:rPr>
      <w:color w:val="0000FF"/>
      <w:u w:val="single"/>
    </w:rPr>
  </w:style>
  <w:style w:type="paragraph" w:styleId="Paragraphedeliste">
    <w:name w:val="List Paragraph"/>
    <w:basedOn w:val="Normal"/>
    <w:qFormat/>
    <w:rsid w:val="002F5C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b.badda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zyani</dc:creator>
  <cp:keywords/>
  <dc:description/>
  <cp:lastModifiedBy>zyani</cp:lastModifiedBy>
  <cp:revision>8</cp:revision>
  <dcterms:created xsi:type="dcterms:W3CDTF">2016-02-02T16:47:00Z</dcterms:created>
  <dcterms:modified xsi:type="dcterms:W3CDTF">2016-02-10T17:40:00Z</dcterms:modified>
</cp:coreProperties>
</file>